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08" w:rsidRPr="00352642" w:rsidRDefault="00C1187C" w:rsidP="00C24E08">
      <w:pPr>
        <w:spacing w:line="240" w:lineRule="auto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2003 to 2012 m</w:t>
      </w:r>
      <w:r w:rsidR="00ED22E5">
        <w:rPr>
          <w:b/>
          <w:szCs w:val="24"/>
        </w:rPr>
        <w:t xml:space="preserve">ortality-to-incidence ratios for breast, colorectal, and cervical cancer in </w:t>
      </w:r>
      <w:r w:rsidR="00786170">
        <w:rPr>
          <w:b/>
          <w:szCs w:val="24"/>
        </w:rPr>
        <w:t xml:space="preserve">core </w:t>
      </w:r>
      <w:r w:rsidR="00ED22E5">
        <w:rPr>
          <w:b/>
          <w:szCs w:val="24"/>
        </w:rPr>
        <w:t xml:space="preserve">Delta </w:t>
      </w:r>
      <w:r w:rsidR="007D720E">
        <w:rPr>
          <w:b/>
          <w:szCs w:val="24"/>
        </w:rPr>
        <w:t>counties</w:t>
      </w:r>
      <w:r w:rsidR="00ED22E5">
        <w:rPr>
          <w:b/>
          <w:szCs w:val="24"/>
        </w:rPr>
        <w:t xml:space="preserve"> compared to </w:t>
      </w:r>
      <w:r>
        <w:rPr>
          <w:b/>
          <w:szCs w:val="24"/>
        </w:rPr>
        <w:t xml:space="preserve">non-Delta </w:t>
      </w:r>
      <w:r w:rsidR="007D720E">
        <w:rPr>
          <w:b/>
          <w:szCs w:val="24"/>
        </w:rPr>
        <w:t>Mississippi counties</w:t>
      </w:r>
    </w:p>
    <w:p w:rsidR="00C24E08" w:rsidRPr="00ED22E5" w:rsidRDefault="00ED22E5" w:rsidP="00C24E08">
      <w:pPr>
        <w:spacing w:line="240" w:lineRule="auto"/>
        <w:rPr>
          <w:szCs w:val="24"/>
          <w:vertAlign w:val="superscript"/>
        </w:rPr>
      </w:pPr>
      <w:r>
        <w:rPr>
          <w:szCs w:val="24"/>
        </w:rPr>
        <w:t xml:space="preserve">John Clark </w:t>
      </w:r>
      <w:r w:rsidR="00C1187C">
        <w:rPr>
          <w:szCs w:val="24"/>
        </w:rPr>
        <w:t xml:space="preserve">HENEGAN </w:t>
      </w:r>
      <w:r>
        <w:rPr>
          <w:szCs w:val="24"/>
        </w:rPr>
        <w:t>Jr</w:t>
      </w:r>
      <w:r w:rsidR="00C1187C">
        <w:rPr>
          <w:szCs w:val="24"/>
        </w:rPr>
        <w:t xml:space="preserve"> MD</w:t>
      </w:r>
      <w:r>
        <w:rPr>
          <w:szCs w:val="24"/>
          <w:vertAlign w:val="superscript"/>
        </w:rPr>
        <w:t>a</w:t>
      </w:r>
    </w:p>
    <w:p w:rsidR="00ED22E5" w:rsidRPr="00845CD7" w:rsidRDefault="00ED22E5" w:rsidP="00C24E08">
      <w:pPr>
        <w:spacing w:line="240" w:lineRule="auto"/>
        <w:rPr>
          <w:szCs w:val="24"/>
        </w:rPr>
      </w:pPr>
    </w:p>
    <w:p w:rsidR="00C24E08" w:rsidRPr="000C51FA" w:rsidRDefault="00C24E08" w:rsidP="00C24E08">
      <w:pPr>
        <w:spacing w:line="240" w:lineRule="auto"/>
        <w:rPr>
          <w:sz w:val="20"/>
          <w:szCs w:val="20"/>
        </w:rPr>
      </w:pPr>
      <w:r w:rsidRPr="000C51FA">
        <w:rPr>
          <w:sz w:val="20"/>
          <w:szCs w:val="20"/>
          <w:vertAlign w:val="superscript"/>
        </w:rPr>
        <w:t xml:space="preserve">a </w:t>
      </w:r>
      <w:r w:rsidRPr="000C51FA">
        <w:rPr>
          <w:sz w:val="20"/>
          <w:szCs w:val="20"/>
        </w:rPr>
        <w:t xml:space="preserve">Division of </w:t>
      </w:r>
      <w:r w:rsidR="00ED22E5" w:rsidRPr="000C51FA">
        <w:rPr>
          <w:sz w:val="20"/>
          <w:szCs w:val="20"/>
        </w:rPr>
        <w:t xml:space="preserve">Hematology and Oncology, </w:t>
      </w:r>
      <w:r w:rsidRPr="000C51FA">
        <w:rPr>
          <w:sz w:val="20"/>
          <w:szCs w:val="20"/>
        </w:rPr>
        <w:t>Department of Medicine, University of Mississippi School of Medicine, Jackson MS 3</w:t>
      </w:r>
      <w:r w:rsidR="00C1187C" w:rsidRPr="000C51FA">
        <w:rPr>
          <w:sz w:val="20"/>
          <w:szCs w:val="20"/>
        </w:rPr>
        <w:t>9</w:t>
      </w:r>
      <w:r w:rsidRPr="000C51FA">
        <w:rPr>
          <w:sz w:val="20"/>
          <w:szCs w:val="20"/>
        </w:rPr>
        <w:t>216</w:t>
      </w:r>
    </w:p>
    <w:p w:rsidR="007D720E" w:rsidRDefault="00C24E08" w:rsidP="007D720E">
      <w:pPr>
        <w:spacing w:line="240" w:lineRule="auto"/>
        <w:rPr>
          <w:sz w:val="20"/>
          <w:szCs w:val="20"/>
        </w:rPr>
      </w:pPr>
      <w:r w:rsidRPr="000C51FA">
        <w:rPr>
          <w:sz w:val="20"/>
          <w:szCs w:val="20"/>
        </w:rPr>
        <w:t xml:space="preserve">Correspondence to </w:t>
      </w:r>
      <w:r w:rsidR="00ED22E5" w:rsidRPr="000C51FA">
        <w:rPr>
          <w:sz w:val="20"/>
          <w:szCs w:val="20"/>
        </w:rPr>
        <w:t>John Clark Henegan, MD</w:t>
      </w:r>
      <w:r w:rsidRPr="000C51FA">
        <w:rPr>
          <w:sz w:val="20"/>
          <w:szCs w:val="20"/>
        </w:rPr>
        <w:t xml:space="preserve">; Division of </w:t>
      </w:r>
      <w:r w:rsidR="00C1187C" w:rsidRPr="000C51FA">
        <w:rPr>
          <w:sz w:val="20"/>
          <w:szCs w:val="20"/>
        </w:rPr>
        <w:t>Hematology and Oncology</w:t>
      </w:r>
      <w:r w:rsidRPr="000C51FA">
        <w:rPr>
          <w:sz w:val="20"/>
          <w:szCs w:val="20"/>
        </w:rPr>
        <w:t xml:space="preserve">, Department of Medicine, University of Mississippi School of Medicine, 2500 N State St, Jackson 39216; e-mail: </w:t>
      </w:r>
      <w:r w:rsidR="00C1187C" w:rsidRPr="000C51FA">
        <w:rPr>
          <w:sz w:val="20"/>
          <w:szCs w:val="20"/>
        </w:rPr>
        <w:t xml:space="preserve">jhenegan@umc.edu </w:t>
      </w:r>
    </w:p>
    <w:p w:rsidR="007D720E" w:rsidRDefault="007D720E" w:rsidP="007D720E">
      <w:pPr>
        <w:spacing w:line="240" w:lineRule="auto"/>
        <w:rPr>
          <w:sz w:val="20"/>
          <w:szCs w:val="20"/>
        </w:rPr>
      </w:pPr>
    </w:p>
    <w:p w:rsidR="007D720E" w:rsidRDefault="00C24E08" w:rsidP="007D720E">
      <w:pPr>
        <w:spacing w:line="240" w:lineRule="auto"/>
        <w:rPr>
          <w:szCs w:val="24"/>
          <w:lang w:bidi="en-US"/>
        </w:rPr>
      </w:pPr>
      <w:r w:rsidRPr="001965AF">
        <w:rPr>
          <w:b/>
          <w:szCs w:val="24"/>
          <w:lang w:bidi="en-US"/>
        </w:rPr>
        <w:t>Objectives</w:t>
      </w:r>
      <w:r>
        <w:rPr>
          <w:szCs w:val="24"/>
          <w:lang w:bidi="en-US"/>
        </w:rPr>
        <w:t xml:space="preserve">: To </w:t>
      </w:r>
      <w:r w:rsidR="00C1187C">
        <w:rPr>
          <w:szCs w:val="24"/>
          <w:lang w:bidi="en-US"/>
        </w:rPr>
        <w:t>compare the mortality-to-incidence ratio</w:t>
      </w:r>
      <w:r w:rsidR="0000276A">
        <w:rPr>
          <w:szCs w:val="24"/>
          <w:lang w:bidi="en-US"/>
        </w:rPr>
        <w:t xml:space="preserve"> (MIR)</w:t>
      </w:r>
      <w:r w:rsidR="00C1187C">
        <w:rPr>
          <w:szCs w:val="24"/>
          <w:lang w:bidi="en-US"/>
        </w:rPr>
        <w:t xml:space="preserve"> for three malignancies </w:t>
      </w:r>
      <w:r w:rsidR="004C5A4A">
        <w:rPr>
          <w:szCs w:val="24"/>
          <w:lang w:bidi="en-US"/>
        </w:rPr>
        <w:t xml:space="preserve">– breast, colorectal, and cervical cancer – </w:t>
      </w:r>
      <w:r w:rsidR="00B60D05">
        <w:rPr>
          <w:szCs w:val="24"/>
          <w:lang w:bidi="en-US"/>
        </w:rPr>
        <w:t xml:space="preserve">as a surrogate for </w:t>
      </w:r>
      <w:r w:rsidR="004C5A4A">
        <w:rPr>
          <w:szCs w:val="24"/>
          <w:lang w:bidi="en-US"/>
        </w:rPr>
        <w:t>health care disparities</w:t>
      </w:r>
      <w:r w:rsidR="00B60D05">
        <w:rPr>
          <w:szCs w:val="24"/>
          <w:lang w:bidi="en-US"/>
        </w:rPr>
        <w:t xml:space="preserve"> among </w:t>
      </w:r>
      <w:r w:rsidR="007D720E">
        <w:rPr>
          <w:szCs w:val="24"/>
          <w:lang w:bidi="en-US"/>
        </w:rPr>
        <w:t xml:space="preserve">core </w:t>
      </w:r>
      <w:r w:rsidR="00B60D05">
        <w:rPr>
          <w:szCs w:val="24"/>
          <w:lang w:bidi="en-US"/>
        </w:rPr>
        <w:t xml:space="preserve">Mississippi Delta </w:t>
      </w:r>
      <w:r w:rsidR="007D720E">
        <w:rPr>
          <w:szCs w:val="24"/>
          <w:lang w:bidi="en-US"/>
        </w:rPr>
        <w:t xml:space="preserve">counties </w:t>
      </w:r>
      <w:r w:rsidR="00B60D05">
        <w:rPr>
          <w:szCs w:val="24"/>
          <w:lang w:bidi="en-US"/>
        </w:rPr>
        <w:t xml:space="preserve">when compared to non-Delta </w:t>
      </w:r>
      <w:r w:rsidR="007D720E">
        <w:rPr>
          <w:szCs w:val="24"/>
          <w:lang w:bidi="en-US"/>
        </w:rPr>
        <w:t xml:space="preserve">counties </w:t>
      </w:r>
      <w:r w:rsidR="00B60D05">
        <w:rPr>
          <w:szCs w:val="24"/>
          <w:lang w:bidi="en-US"/>
        </w:rPr>
        <w:t>in the state</w:t>
      </w:r>
      <w:r w:rsidR="004C5A4A">
        <w:rPr>
          <w:szCs w:val="24"/>
          <w:lang w:bidi="en-US"/>
        </w:rPr>
        <w:t xml:space="preserve">.  </w:t>
      </w:r>
    </w:p>
    <w:p w:rsidR="007D720E" w:rsidRDefault="007D720E" w:rsidP="007D720E">
      <w:pPr>
        <w:spacing w:line="240" w:lineRule="auto"/>
        <w:rPr>
          <w:szCs w:val="24"/>
          <w:lang w:bidi="en-US"/>
        </w:rPr>
      </w:pPr>
    </w:p>
    <w:p w:rsidR="007D720E" w:rsidRDefault="00C24E08" w:rsidP="007D720E">
      <w:pPr>
        <w:spacing w:line="240" w:lineRule="auto"/>
        <w:rPr>
          <w:szCs w:val="24"/>
          <w:lang w:bidi="en-US"/>
        </w:rPr>
      </w:pPr>
      <w:r w:rsidRPr="001965AF">
        <w:rPr>
          <w:b/>
          <w:szCs w:val="24"/>
          <w:lang w:bidi="en-US"/>
        </w:rPr>
        <w:t>Methods</w:t>
      </w:r>
      <w:r>
        <w:rPr>
          <w:szCs w:val="24"/>
          <w:lang w:bidi="en-US"/>
        </w:rPr>
        <w:t xml:space="preserve">: </w:t>
      </w:r>
      <w:r w:rsidRPr="009815E9">
        <w:rPr>
          <w:szCs w:val="24"/>
          <w:lang w:bidi="en-US"/>
        </w:rPr>
        <w:t xml:space="preserve">Data were obtained from the </w:t>
      </w:r>
      <w:r w:rsidR="004C5A4A">
        <w:rPr>
          <w:szCs w:val="24"/>
          <w:lang w:bidi="en-US"/>
        </w:rPr>
        <w:t xml:space="preserve">online Mississippi Cancer Registry for age-adjusted rates of incidence and mortality for breast, colorectal, and cervical cancer by </w:t>
      </w:r>
      <w:r w:rsidR="00B60D05">
        <w:rPr>
          <w:szCs w:val="24"/>
          <w:lang w:bidi="en-US"/>
        </w:rPr>
        <w:t xml:space="preserve">Mississippi </w:t>
      </w:r>
      <w:r w:rsidR="004C5A4A">
        <w:rPr>
          <w:szCs w:val="24"/>
          <w:lang w:bidi="en-US"/>
        </w:rPr>
        <w:t>county</w:t>
      </w:r>
      <w:r w:rsidR="00B60D05">
        <w:rPr>
          <w:szCs w:val="24"/>
          <w:lang w:bidi="en-US"/>
        </w:rPr>
        <w:t xml:space="preserve"> from 2003-2012</w:t>
      </w:r>
      <w:r w:rsidR="004C5A4A">
        <w:rPr>
          <w:szCs w:val="24"/>
          <w:lang w:bidi="en-US"/>
        </w:rPr>
        <w:t xml:space="preserve">.  </w:t>
      </w:r>
      <w:r w:rsidR="00B60D05">
        <w:rPr>
          <w:szCs w:val="24"/>
          <w:lang w:bidi="en-US"/>
        </w:rPr>
        <w:t xml:space="preserve">MIR was calculated by dividing each county’s age-adjusted mortality rate by its age-adjusted incidence rate.  </w:t>
      </w:r>
      <w:r w:rsidR="00786170">
        <w:rPr>
          <w:szCs w:val="24"/>
          <w:lang w:bidi="en-US"/>
        </w:rPr>
        <w:t xml:space="preserve">Core </w:t>
      </w:r>
      <w:r w:rsidR="004C5A4A">
        <w:rPr>
          <w:szCs w:val="24"/>
          <w:lang w:bidi="en-US"/>
        </w:rPr>
        <w:t xml:space="preserve">Delta and non-Delta counties (excluding buffer counties as defined by the Mississippi Cancer Registry) were compared.  To determine if any detected difference </w:t>
      </w:r>
      <w:r w:rsidR="00D125BA">
        <w:rPr>
          <w:szCs w:val="24"/>
          <w:lang w:bidi="en-US"/>
        </w:rPr>
        <w:t>could be associated with the</w:t>
      </w:r>
      <w:r w:rsidR="004C5A4A">
        <w:rPr>
          <w:szCs w:val="24"/>
          <w:lang w:bidi="en-US"/>
        </w:rPr>
        <w:t xml:space="preserve"> Mississippi Delta</w:t>
      </w:r>
      <w:r w:rsidR="00D125BA">
        <w:rPr>
          <w:szCs w:val="24"/>
          <w:lang w:bidi="en-US"/>
        </w:rPr>
        <w:t>’s ruralness</w:t>
      </w:r>
      <w:r w:rsidR="004C5A4A">
        <w:rPr>
          <w:szCs w:val="24"/>
          <w:lang w:bidi="en-US"/>
        </w:rPr>
        <w:t xml:space="preserve">, </w:t>
      </w:r>
      <w:r w:rsidR="00B60D05">
        <w:rPr>
          <w:szCs w:val="24"/>
          <w:lang w:bidi="en-US"/>
        </w:rPr>
        <w:t xml:space="preserve">the MIR of </w:t>
      </w:r>
      <w:r w:rsidR="004C5A4A">
        <w:rPr>
          <w:szCs w:val="24"/>
          <w:lang w:bidi="en-US"/>
        </w:rPr>
        <w:t xml:space="preserve">Delta counties </w:t>
      </w:r>
      <w:r w:rsidR="00B60D05">
        <w:rPr>
          <w:szCs w:val="24"/>
          <w:lang w:bidi="en-US"/>
        </w:rPr>
        <w:t>was</w:t>
      </w:r>
      <w:r w:rsidR="004C5A4A">
        <w:rPr>
          <w:szCs w:val="24"/>
          <w:lang w:bidi="en-US"/>
        </w:rPr>
        <w:t xml:space="preserve"> also compared to </w:t>
      </w:r>
      <w:r w:rsidR="007D720E">
        <w:rPr>
          <w:szCs w:val="24"/>
          <w:lang w:bidi="en-US"/>
        </w:rPr>
        <w:t xml:space="preserve">Mississippi </w:t>
      </w:r>
      <w:r w:rsidR="004C5A4A">
        <w:rPr>
          <w:szCs w:val="24"/>
          <w:lang w:bidi="en-US"/>
        </w:rPr>
        <w:t xml:space="preserve">counties classified as “Rural” by the Mississippi </w:t>
      </w:r>
      <w:r w:rsidR="00D125BA">
        <w:rPr>
          <w:szCs w:val="24"/>
          <w:lang w:bidi="en-US"/>
        </w:rPr>
        <w:t xml:space="preserve">Cancer </w:t>
      </w:r>
      <w:r w:rsidR="004C5A4A">
        <w:rPr>
          <w:szCs w:val="24"/>
          <w:lang w:bidi="en-US"/>
        </w:rPr>
        <w:t>Registry.  All comparisons involved a two-sided student T-test and assumed unequal variance</w:t>
      </w:r>
      <w:r w:rsidR="00B60D05">
        <w:rPr>
          <w:szCs w:val="24"/>
          <w:lang w:bidi="en-US"/>
        </w:rPr>
        <w:t xml:space="preserve"> between the two samples.</w:t>
      </w:r>
    </w:p>
    <w:p w:rsidR="007D720E" w:rsidRDefault="007D720E" w:rsidP="007D720E">
      <w:pPr>
        <w:spacing w:line="240" w:lineRule="auto"/>
        <w:rPr>
          <w:b/>
          <w:iCs/>
          <w:szCs w:val="24"/>
          <w:lang w:bidi="en-US"/>
        </w:rPr>
      </w:pPr>
    </w:p>
    <w:p w:rsidR="00C24E08" w:rsidRDefault="00C24E08" w:rsidP="007D720E">
      <w:pPr>
        <w:spacing w:line="240" w:lineRule="auto"/>
        <w:rPr>
          <w:iCs/>
          <w:szCs w:val="24"/>
          <w:lang w:bidi="en-US"/>
        </w:rPr>
      </w:pPr>
      <w:r w:rsidRPr="001965AF">
        <w:rPr>
          <w:b/>
          <w:iCs/>
          <w:szCs w:val="24"/>
          <w:lang w:bidi="en-US"/>
        </w:rPr>
        <w:t>Results</w:t>
      </w:r>
      <w:r>
        <w:rPr>
          <w:iCs/>
          <w:szCs w:val="24"/>
          <w:lang w:bidi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1289"/>
        <w:gridCol w:w="1271"/>
        <w:gridCol w:w="1249"/>
        <w:gridCol w:w="1250"/>
        <w:gridCol w:w="1184"/>
        <w:gridCol w:w="1184"/>
      </w:tblGrid>
      <w:tr w:rsidR="00B61600" w:rsidTr="007D720E">
        <w:tc>
          <w:tcPr>
            <w:tcW w:w="2041" w:type="dxa"/>
          </w:tcPr>
          <w:p w:rsidR="00B61600" w:rsidRPr="00D125BA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b/>
                <w:iCs/>
                <w:szCs w:val="24"/>
                <w:lang w:bidi="en-US"/>
              </w:rPr>
            </w:pPr>
            <w:r w:rsidRPr="00D125BA">
              <w:rPr>
                <w:b/>
                <w:iCs/>
                <w:szCs w:val="24"/>
                <w:lang w:bidi="en-US"/>
              </w:rPr>
              <w:t>Per 100,000</w:t>
            </w:r>
          </w:p>
        </w:tc>
        <w:tc>
          <w:tcPr>
            <w:tcW w:w="3809" w:type="dxa"/>
            <w:gridSpan w:val="3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Delta</w:t>
            </w:r>
          </w:p>
        </w:tc>
        <w:tc>
          <w:tcPr>
            <w:tcW w:w="3618" w:type="dxa"/>
            <w:gridSpan w:val="3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Non-Delta</w:t>
            </w:r>
          </w:p>
        </w:tc>
      </w:tr>
      <w:tr w:rsidR="00B61600" w:rsidTr="007D720E">
        <w:tc>
          <w:tcPr>
            <w:tcW w:w="2041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Cancer</w:t>
            </w:r>
          </w:p>
        </w:tc>
        <w:tc>
          <w:tcPr>
            <w:tcW w:w="1289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Cervical</w:t>
            </w:r>
          </w:p>
        </w:tc>
        <w:tc>
          <w:tcPr>
            <w:tcW w:w="1271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Breast</w:t>
            </w:r>
          </w:p>
        </w:tc>
        <w:tc>
          <w:tcPr>
            <w:tcW w:w="1249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Colorectal</w:t>
            </w:r>
          </w:p>
        </w:tc>
        <w:tc>
          <w:tcPr>
            <w:tcW w:w="1250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Cervical</w:t>
            </w:r>
          </w:p>
        </w:tc>
        <w:tc>
          <w:tcPr>
            <w:tcW w:w="1184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Breast</w:t>
            </w:r>
          </w:p>
        </w:tc>
        <w:tc>
          <w:tcPr>
            <w:tcW w:w="1184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Colorectal</w:t>
            </w:r>
          </w:p>
        </w:tc>
      </w:tr>
      <w:tr w:rsidR="00B61600" w:rsidTr="007D720E">
        <w:tc>
          <w:tcPr>
            <w:tcW w:w="2041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Age-Adjusted Incidence Rates</w:t>
            </w:r>
          </w:p>
        </w:tc>
        <w:tc>
          <w:tcPr>
            <w:tcW w:w="1289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13.40 (11.38-15.67)</w:t>
            </w:r>
          </w:p>
        </w:tc>
        <w:tc>
          <w:tcPr>
            <w:tcW w:w="1271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104.86 (99.21-110.74)</w:t>
            </w:r>
          </w:p>
        </w:tc>
        <w:tc>
          <w:tcPr>
            <w:tcW w:w="1249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65.98 (62.64-69.44)</w:t>
            </w:r>
          </w:p>
        </w:tc>
        <w:tc>
          <w:tcPr>
            <w:tcW w:w="1250" w:type="dxa"/>
          </w:tcPr>
          <w:p w:rsidR="000C51FA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 xml:space="preserve">9.13 </w:t>
            </w:r>
          </w:p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(8.60-9.69)</w:t>
            </w:r>
          </w:p>
        </w:tc>
        <w:tc>
          <w:tcPr>
            <w:tcW w:w="1184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113.75 (111.94-115.58)</w:t>
            </w:r>
          </w:p>
        </w:tc>
        <w:tc>
          <w:tcPr>
            <w:tcW w:w="1184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88.50 (87.33-89.68)</w:t>
            </w:r>
          </w:p>
        </w:tc>
      </w:tr>
      <w:tr w:rsidR="00B61600" w:rsidTr="007D720E">
        <w:tc>
          <w:tcPr>
            <w:tcW w:w="2041" w:type="dxa"/>
          </w:tcPr>
          <w:p w:rsidR="00B61600" w:rsidRDefault="00B61600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Age-Adjusted Mortality Rates</w:t>
            </w:r>
          </w:p>
        </w:tc>
        <w:tc>
          <w:tcPr>
            <w:tcW w:w="1289" w:type="dxa"/>
          </w:tcPr>
          <w:p w:rsidR="000C51FA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 xml:space="preserve">6.59 </w:t>
            </w:r>
          </w:p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(5.23-8.20)</w:t>
            </w:r>
          </w:p>
        </w:tc>
        <w:tc>
          <w:tcPr>
            <w:tcW w:w="1271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32.18 (29.13-35.48)</w:t>
            </w:r>
          </w:p>
        </w:tc>
        <w:tc>
          <w:tcPr>
            <w:tcW w:w="1249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30.04 (27.81- 32.41)</w:t>
            </w:r>
          </w:p>
        </w:tc>
        <w:tc>
          <w:tcPr>
            <w:tcW w:w="1250" w:type="dxa"/>
          </w:tcPr>
          <w:p w:rsidR="000C51FA" w:rsidRDefault="000C51FA" w:rsidP="000C51FA">
            <w:pPr>
              <w:keepNext/>
              <w:keepLines/>
              <w:spacing w:line="240" w:lineRule="auto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 xml:space="preserve">3.31 </w:t>
            </w:r>
          </w:p>
          <w:p w:rsidR="00B61600" w:rsidRDefault="000C51FA" w:rsidP="000C51FA">
            <w:pPr>
              <w:keepNext/>
              <w:keepLines/>
              <w:spacing w:line="240" w:lineRule="auto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(3.00-3.64)</w:t>
            </w:r>
          </w:p>
        </w:tc>
        <w:tc>
          <w:tcPr>
            <w:tcW w:w="1184" w:type="dxa"/>
          </w:tcPr>
          <w:p w:rsidR="00B61600" w:rsidRDefault="000C51FA" w:rsidP="000C51FA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23.83 (23.02-24.67)</w:t>
            </w:r>
          </w:p>
        </w:tc>
        <w:tc>
          <w:tcPr>
            <w:tcW w:w="1184" w:type="dxa"/>
          </w:tcPr>
          <w:p w:rsidR="00B61600" w:rsidRDefault="000C51FA" w:rsidP="00B61600">
            <w:pPr>
              <w:keepNext/>
              <w:keepLines/>
              <w:spacing w:line="240" w:lineRule="auto"/>
              <w:jc w:val="center"/>
              <w:outlineLvl w:val="1"/>
              <w:rPr>
                <w:iCs/>
                <w:szCs w:val="24"/>
                <w:lang w:bidi="en-US"/>
              </w:rPr>
            </w:pPr>
            <w:r>
              <w:rPr>
                <w:iCs/>
                <w:szCs w:val="24"/>
                <w:lang w:bidi="en-US"/>
              </w:rPr>
              <w:t>19.00 (18.46-19.55)</w:t>
            </w:r>
          </w:p>
        </w:tc>
      </w:tr>
    </w:tbl>
    <w:p w:rsidR="00B61600" w:rsidRDefault="00B61600" w:rsidP="00B61600">
      <w:pPr>
        <w:keepNext/>
        <w:keepLines/>
        <w:spacing w:line="240" w:lineRule="auto"/>
        <w:jc w:val="center"/>
        <w:outlineLvl w:val="1"/>
        <w:rPr>
          <w:iCs/>
          <w:szCs w:val="24"/>
          <w:lang w:bidi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1800"/>
        <w:gridCol w:w="1530"/>
        <w:gridCol w:w="1890"/>
      </w:tblGrid>
      <w:tr w:rsidR="0000276A" w:rsidTr="007D720E">
        <w:tc>
          <w:tcPr>
            <w:tcW w:w="4140" w:type="dxa"/>
          </w:tcPr>
          <w:p w:rsidR="0000276A" w:rsidRPr="00B60D05" w:rsidRDefault="003B2B99" w:rsidP="00B61600">
            <w:pPr>
              <w:keepNext/>
              <w:keepLines/>
              <w:spacing w:line="240" w:lineRule="auto"/>
              <w:jc w:val="center"/>
              <w:outlineLvl w:val="1"/>
              <w:rPr>
                <w:b/>
                <w:szCs w:val="24"/>
                <w:lang w:bidi="en-US"/>
              </w:rPr>
            </w:pPr>
            <w:r w:rsidRPr="00B60D05">
              <w:rPr>
                <w:b/>
                <w:szCs w:val="24"/>
                <w:lang w:bidi="en-US"/>
              </w:rPr>
              <w:t xml:space="preserve">Delta vs. </w:t>
            </w:r>
            <w:r w:rsidR="000C51FA">
              <w:rPr>
                <w:b/>
                <w:szCs w:val="24"/>
                <w:lang w:bidi="en-US"/>
              </w:rPr>
              <w:t>Non-</w:t>
            </w:r>
            <w:r w:rsidRPr="00B60D05">
              <w:rPr>
                <w:b/>
                <w:szCs w:val="24"/>
                <w:lang w:bidi="en-US"/>
              </w:rPr>
              <w:t>Delta Counties,</w:t>
            </w:r>
            <w:r w:rsidR="0000276A" w:rsidRPr="00B60D05">
              <w:rPr>
                <w:b/>
                <w:szCs w:val="24"/>
                <w:lang w:bidi="en-US"/>
              </w:rPr>
              <w:t xml:space="preserve"> </w:t>
            </w:r>
            <w:r w:rsidR="00B60D05">
              <w:rPr>
                <w:b/>
                <w:szCs w:val="24"/>
                <w:lang w:bidi="en-US"/>
              </w:rPr>
              <w:t xml:space="preserve">p-values of </w:t>
            </w:r>
            <w:r w:rsidR="0000276A" w:rsidRPr="00B60D05">
              <w:rPr>
                <w:b/>
                <w:szCs w:val="24"/>
                <w:lang w:bidi="en-US"/>
              </w:rPr>
              <w:t>t-test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Cervical Cancer</w:t>
            </w:r>
          </w:p>
        </w:tc>
        <w:tc>
          <w:tcPr>
            <w:tcW w:w="153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Breast Cancer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Colorectal Cancer</w:t>
            </w:r>
          </w:p>
        </w:tc>
      </w:tr>
      <w:tr w:rsidR="0000276A" w:rsidTr="007D720E">
        <w:tc>
          <w:tcPr>
            <w:tcW w:w="414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Age-Adjusted Incidence Rates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0.01</w:t>
            </w:r>
          </w:p>
        </w:tc>
        <w:tc>
          <w:tcPr>
            <w:tcW w:w="1530" w:type="dxa"/>
          </w:tcPr>
          <w:p w:rsidR="0000276A" w:rsidRDefault="003B2B99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0.87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1.60E-04</w:t>
            </w:r>
          </w:p>
        </w:tc>
      </w:tr>
      <w:tr w:rsidR="0000276A" w:rsidTr="007D720E">
        <w:tc>
          <w:tcPr>
            <w:tcW w:w="414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Age-Adjusted Mortality  Rates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6.59E-05</w:t>
            </w:r>
          </w:p>
        </w:tc>
        <w:tc>
          <w:tcPr>
            <w:tcW w:w="153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0.01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6.07E-06</w:t>
            </w:r>
          </w:p>
        </w:tc>
      </w:tr>
      <w:tr w:rsidR="0000276A" w:rsidTr="007D720E">
        <w:tc>
          <w:tcPr>
            <w:tcW w:w="414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Mortality-to-Incidence Ratio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0.24</w:t>
            </w:r>
          </w:p>
        </w:tc>
        <w:tc>
          <w:tcPr>
            <w:tcW w:w="153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0.03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0.01</w:t>
            </w:r>
          </w:p>
        </w:tc>
      </w:tr>
    </w:tbl>
    <w:p w:rsidR="0000276A" w:rsidRDefault="0000276A" w:rsidP="00B61600">
      <w:pPr>
        <w:keepNext/>
        <w:keepLines/>
        <w:spacing w:line="240" w:lineRule="auto"/>
        <w:jc w:val="center"/>
        <w:outlineLvl w:val="1"/>
        <w:rPr>
          <w:szCs w:val="24"/>
          <w:lang w:bidi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1800"/>
        <w:gridCol w:w="1530"/>
        <w:gridCol w:w="1890"/>
      </w:tblGrid>
      <w:tr w:rsidR="00482B07" w:rsidTr="007D720E">
        <w:tc>
          <w:tcPr>
            <w:tcW w:w="4140" w:type="dxa"/>
          </w:tcPr>
          <w:p w:rsidR="0000276A" w:rsidRPr="00B60D05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b/>
                <w:szCs w:val="24"/>
                <w:lang w:bidi="en-US"/>
              </w:rPr>
            </w:pPr>
            <w:r w:rsidRPr="00B60D05">
              <w:rPr>
                <w:b/>
                <w:szCs w:val="24"/>
                <w:lang w:bidi="en-US"/>
              </w:rPr>
              <w:t>Delta</w:t>
            </w:r>
            <w:r w:rsidR="003B2B99" w:rsidRPr="00B60D05">
              <w:rPr>
                <w:b/>
                <w:szCs w:val="24"/>
                <w:lang w:bidi="en-US"/>
              </w:rPr>
              <w:t xml:space="preserve"> </w:t>
            </w:r>
            <w:r w:rsidR="000C51FA">
              <w:rPr>
                <w:b/>
                <w:szCs w:val="24"/>
                <w:lang w:bidi="en-US"/>
              </w:rPr>
              <w:t xml:space="preserve">vs. Rural </w:t>
            </w:r>
            <w:r w:rsidR="003B2B99" w:rsidRPr="00B60D05">
              <w:rPr>
                <w:b/>
                <w:szCs w:val="24"/>
                <w:lang w:bidi="en-US"/>
              </w:rPr>
              <w:t>Counties</w:t>
            </w:r>
            <w:r w:rsidRPr="00B60D05">
              <w:rPr>
                <w:b/>
                <w:szCs w:val="24"/>
                <w:lang w:bidi="en-US"/>
              </w:rPr>
              <w:t xml:space="preserve">, </w:t>
            </w:r>
            <w:r w:rsidR="00B60D05">
              <w:rPr>
                <w:b/>
                <w:szCs w:val="24"/>
                <w:lang w:bidi="en-US"/>
              </w:rPr>
              <w:t xml:space="preserve">p-values of </w:t>
            </w:r>
            <w:r w:rsidRPr="00B60D05">
              <w:rPr>
                <w:b/>
                <w:szCs w:val="24"/>
                <w:lang w:bidi="en-US"/>
              </w:rPr>
              <w:t>t-test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Cervical Cancer</w:t>
            </w:r>
          </w:p>
        </w:tc>
        <w:tc>
          <w:tcPr>
            <w:tcW w:w="153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Breast Cancer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Colorectal Cancer</w:t>
            </w:r>
          </w:p>
        </w:tc>
      </w:tr>
      <w:tr w:rsidR="00482B07" w:rsidTr="007D720E">
        <w:tc>
          <w:tcPr>
            <w:tcW w:w="414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Mortality-to-Incidence Ratio</w:t>
            </w:r>
          </w:p>
        </w:tc>
        <w:tc>
          <w:tcPr>
            <w:tcW w:w="180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0.33</w:t>
            </w:r>
          </w:p>
        </w:tc>
        <w:tc>
          <w:tcPr>
            <w:tcW w:w="153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0.09</w:t>
            </w:r>
          </w:p>
        </w:tc>
        <w:tc>
          <w:tcPr>
            <w:tcW w:w="1890" w:type="dxa"/>
          </w:tcPr>
          <w:p w:rsidR="0000276A" w:rsidRDefault="0000276A" w:rsidP="00B61600">
            <w:pPr>
              <w:keepNext/>
              <w:keepLines/>
              <w:spacing w:line="240" w:lineRule="auto"/>
              <w:jc w:val="center"/>
              <w:outlineLvl w:val="1"/>
              <w:rPr>
                <w:szCs w:val="24"/>
                <w:lang w:bidi="en-US"/>
              </w:rPr>
            </w:pPr>
            <w:r>
              <w:rPr>
                <w:szCs w:val="24"/>
                <w:lang w:bidi="en-US"/>
              </w:rPr>
              <w:t>0.02</w:t>
            </w:r>
          </w:p>
        </w:tc>
      </w:tr>
    </w:tbl>
    <w:p w:rsidR="007D720E" w:rsidRDefault="007D720E" w:rsidP="00C24E08">
      <w:pPr>
        <w:keepNext/>
        <w:keepLines/>
        <w:spacing w:line="240" w:lineRule="auto"/>
        <w:outlineLvl w:val="1"/>
        <w:rPr>
          <w:szCs w:val="24"/>
          <w:lang w:bidi="en-US"/>
        </w:rPr>
      </w:pPr>
    </w:p>
    <w:p w:rsidR="00C24E08" w:rsidRPr="001965AF" w:rsidRDefault="00C24E08" w:rsidP="00C24E08">
      <w:pPr>
        <w:keepNext/>
        <w:keepLines/>
        <w:spacing w:line="240" w:lineRule="auto"/>
        <w:outlineLvl w:val="1"/>
        <w:rPr>
          <w:szCs w:val="24"/>
          <w:lang w:bidi="en-US"/>
        </w:rPr>
      </w:pPr>
      <w:r w:rsidRPr="001965AF">
        <w:rPr>
          <w:b/>
          <w:szCs w:val="24"/>
          <w:lang w:bidi="en-US"/>
        </w:rPr>
        <w:t>Conclusion</w:t>
      </w:r>
      <w:r>
        <w:rPr>
          <w:szCs w:val="24"/>
          <w:lang w:bidi="en-US"/>
        </w:rPr>
        <w:t>:</w:t>
      </w:r>
      <w:r w:rsidR="00482B07">
        <w:rPr>
          <w:szCs w:val="24"/>
          <w:lang w:bidi="en-US"/>
        </w:rPr>
        <w:t xml:space="preserve">  In Mississippi </w:t>
      </w:r>
      <w:r w:rsidR="000C51FA">
        <w:rPr>
          <w:szCs w:val="24"/>
          <w:lang w:bidi="en-US"/>
        </w:rPr>
        <w:t xml:space="preserve">from </w:t>
      </w:r>
      <w:r w:rsidR="00482B07">
        <w:rPr>
          <w:szCs w:val="24"/>
          <w:lang w:bidi="en-US"/>
        </w:rPr>
        <w:t>2003</w:t>
      </w:r>
      <w:r w:rsidR="000C51FA">
        <w:rPr>
          <w:szCs w:val="24"/>
          <w:lang w:bidi="en-US"/>
        </w:rPr>
        <w:t xml:space="preserve"> to </w:t>
      </w:r>
      <w:r w:rsidR="00482B07">
        <w:rPr>
          <w:szCs w:val="24"/>
          <w:lang w:bidi="en-US"/>
        </w:rPr>
        <w:t xml:space="preserve">2012, the MIR </w:t>
      </w:r>
      <w:r w:rsidR="000C51FA">
        <w:rPr>
          <w:szCs w:val="24"/>
          <w:lang w:bidi="en-US"/>
        </w:rPr>
        <w:t xml:space="preserve">was statistically </w:t>
      </w:r>
      <w:r w:rsidR="008F44EF">
        <w:rPr>
          <w:szCs w:val="24"/>
          <w:lang w:bidi="en-US"/>
        </w:rPr>
        <w:t xml:space="preserve">different </w:t>
      </w:r>
      <w:r w:rsidR="000C51FA">
        <w:rPr>
          <w:szCs w:val="24"/>
          <w:lang w:bidi="en-US"/>
        </w:rPr>
        <w:t xml:space="preserve">for </w:t>
      </w:r>
      <w:r w:rsidR="00482B07">
        <w:rPr>
          <w:szCs w:val="24"/>
          <w:lang w:bidi="en-US"/>
        </w:rPr>
        <w:t xml:space="preserve">breast and colorectal cancer between Delta and non-Delta counties.  When comparing </w:t>
      </w:r>
      <w:r w:rsidR="000C51FA">
        <w:rPr>
          <w:szCs w:val="24"/>
          <w:lang w:bidi="en-US"/>
        </w:rPr>
        <w:t xml:space="preserve">counties in </w:t>
      </w:r>
      <w:r w:rsidR="00482B07">
        <w:rPr>
          <w:szCs w:val="24"/>
          <w:lang w:bidi="en-US"/>
        </w:rPr>
        <w:t>the</w:t>
      </w:r>
      <w:r w:rsidR="007D720E">
        <w:rPr>
          <w:szCs w:val="24"/>
          <w:lang w:bidi="en-US"/>
        </w:rPr>
        <w:t xml:space="preserve"> core</w:t>
      </w:r>
      <w:r w:rsidR="00482B07">
        <w:rPr>
          <w:szCs w:val="24"/>
          <w:lang w:bidi="en-US"/>
        </w:rPr>
        <w:t xml:space="preserve"> Delta to Rural counties in the state, only the colorectal cancer MIR remained statistically </w:t>
      </w:r>
      <w:r w:rsidR="008F44EF">
        <w:rPr>
          <w:szCs w:val="24"/>
          <w:lang w:bidi="en-US"/>
        </w:rPr>
        <w:t>different.  New and specific methods of colorectal cancer management needed in the Delta.</w:t>
      </w:r>
    </w:p>
    <w:p w:rsidR="00B50A92" w:rsidRDefault="00B50A92"/>
    <w:sectPr w:rsidR="00B50A92" w:rsidSect="00DA66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AD" w:rsidRDefault="003327AD" w:rsidP="00D125BA">
      <w:pPr>
        <w:spacing w:line="240" w:lineRule="auto"/>
      </w:pPr>
      <w:r>
        <w:separator/>
      </w:r>
    </w:p>
  </w:endnote>
  <w:endnote w:type="continuationSeparator" w:id="0">
    <w:p w:rsidR="003327AD" w:rsidRDefault="003327AD" w:rsidP="00D12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BA" w:rsidRDefault="00D125BA" w:rsidP="00D125BA">
    <w:pPr>
      <w:pStyle w:val="Footer"/>
      <w:jc w:val="center"/>
    </w:pPr>
    <w:r>
      <w:t>Clinical Research Abstract</w:t>
    </w:r>
  </w:p>
  <w:p w:rsidR="00D125BA" w:rsidRDefault="00D12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AD" w:rsidRDefault="003327AD" w:rsidP="00D125BA">
      <w:pPr>
        <w:spacing w:line="240" w:lineRule="auto"/>
      </w:pPr>
      <w:r>
        <w:separator/>
      </w:r>
    </w:p>
  </w:footnote>
  <w:footnote w:type="continuationSeparator" w:id="0">
    <w:p w:rsidR="003327AD" w:rsidRDefault="003327AD" w:rsidP="00D125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08"/>
    <w:rsid w:val="0000276A"/>
    <w:rsid w:val="000C51FA"/>
    <w:rsid w:val="00241813"/>
    <w:rsid w:val="003327AD"/>
    <w:rsid w:val="003B2B99"/>
    <w:rsid w:val="00482B07"/>
    <w:rsid w:val="004C5A4A"/>
    <w:rsid w:val="00786170"/>
    <w:rsid w:val="007D720E"/>
    <w:rsid w:val="008F44EF"/>
    <w:rsid w:val="00B50A92"/>
    <w:rsid w:val="00B60D05"/>
    <w:rsid w:val="00B61600"/>
    <w:rsid w:val="00C1187C"/>
    <w:rsid w:val="00C24E08"/>
    <w:rsid w:val="00D125BA"/>
    <w:rsid w:val="00DA66AF"/>
    <w:rsid w:val="00E61E5F"/>
    <w:rsid w:val="00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7C339-1367-4DD7-918F-3600DC1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08"/>
    <w:pPr>
      <w:spacing w:after="0" w:line="0" w:lineRule="atLeas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4E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E08"/>
    <w:pPr>
      <w:spacing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00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25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5B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25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BA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Calvin Thigpen</dc:creator>
  <cp:lastModifiedBy>Susan O'Bryan</cp:lastModifiedBy>
  <cp:revision>2</cp:revision>
  <dcterms:created xsi:type="dcterms:W3CDTF">2017-06-16T13:41:00Z</dcterms:created>
  <dcterms:modified xsi:type="dcterms:W3CDTF">2017-06-16T13:41:00Z</dcterms:modified>
</cp:coreProperties>
</file>